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powwows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Anthropology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Comanche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 Meadows: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artillery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landmines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mathematical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ciphers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encryption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encrypt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coincides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Windtalkers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ceremonies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 Meadows: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assimilated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assimilate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(417)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836-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6397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ksmu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836-6397.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ksmu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MSJ Nov 5 2021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18,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"https://www.rev.com/transcript-editor/Edit?token=Rims6BrLzrl6u11-MVIb-H7vJBp95ENbUDS0M3u4qZXNGAMb7Of2hPp8tj0rbBqEWQ3rMDS3sugmzqkZurH_4uAK4Xg&amp;loadFrom=DocumentHeaderDeepLink"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1EA2DBB272E4692D1CE0D7AD07F06" ma:contentTypeVersion="4" ma:contentTypeDescription="Create a new document." ma:contentTypeScope="" ma:versionID="87c4a2ff3c652e29c8c674d878cc66d7">
  <xsd:schema xmlns:xsd="http://www.w3.org/2001/XMLSchema" xmlns:xs="http://www.w3.org/2001/XMLSchema" xmlns:p="http://schemas.microsoft.com/office/2006/metadata/properties" xmlns:ns2="c1185599-7762-46c3-8e4b-73906938592b" targetNamespace="http://schemas.microsoft.com/office/2006/metadata/properties" ma:root="true" ma:fieldsID="29fda79d22738cb96040379797b76a62" ns2:_="">
    <xsd:import namespace="c1185599-7762-46c3-8e4b-739069385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85599-7762-46c3-8e4b-739069385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F8C8D-FA7E-4579-BCB0-1373FB8FEEC7}"/>
</file>

<file path=customXml/itemProps2.xml><?xml version="1.0" encoding="utf-8"?>
<ds:datastoreItem xmlns:ds="http://schemas.openxmlformats.org/officeDocument/2006/customXml" ds:itemID="{11AA66BC-B685-412D-974F-8446129E3997}"/>
</file>

<file path=customXml/itemProps3.xml><?xml version="1.0" encoding="utf-8"?>
<ds:datastoreItem xmlns:ds="http://schemas.openxmlformats.org/officeDocument/2006/customXml" ds:itemID="{B7B4E471-FF2F-48BC-B81B-17F3857110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0x01010086C1EA2DBB272E4692D1CE0D7AD07F06</vt:lpwstr>
  </property>
</Properties>
</file>